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C573" w14:textId="77777777" w:rsidR="00D97580" w:rsidRDefault="00BD43B1">
      <w:pPr>
        <w:jc w:val="center"/>
      </w:pPr>
      <w:r>
        <w:rPr>
          <w:b/>
          <w:sz w:val="32"/>
        </w:rPr>
        <w:t>СРАВНИТЕЛЕН АНАЛИЗ</w:t>
      </w:r>
      <w:r>
        <w:rPr>
          <w:b/>
          <w:sz w:val="32"/>
        </w:rPr>
        <w:br/>
        <w:t>ISO 14001:2015 ↔ ISO 14001:2026</w:t>
      </w:r>
    </w:p>
    <w:p w14:paraId="1172922A" w14:textId="77777777" w:rsidR="00D97580" w:rsidRDefault="00BD43B1">
      <w:pPr>
        <w:jc w:val="center"/>
      </w:pPr>
      <w:r>
        <w:rPr>
          <w:i/>
          <w:sz w:val="21"/>
        </w:rPr>
        <w:t>Информационен материал за клиенти</w:t>
      </w:r>
    </w:p>
    <w:p w14:paraId="735E1060" w14:textId="77777777" w:rsidR="00D97580" w:rsidRDefault="00BD43B1">
      <w:r>
        <w:t>Настоящият документ представя в обобщен вид основните прилики и разлики между ISO 14001:2015 и ISO 14001:2026. Анализът има информационен характер и не представлява индивидуален GAP анализ на конкретна организация.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4535"/>
        <w:gridCol w:w="7370"/>
      </w:tblGrid>
      <w:tr w:rsidR="00D97580" w14:paraId="5F35C3C4" w14:textId="77777777">
        <w:trPr>
          <w:tblHeader/>
          <w:jc w:val="center"/>
        </w:trPr>
        <w:tc>
          <w:tcPr>
            <w:tcW w:w="2381" w:type="dxa"/>
            <w:shd w:val="clear" w:color="auto" w:fill="D9EAD3"/>
            <w:vAlign w:val="center"/>
          </w:tcPr>
          <w:p w14:paraId="7AA718C6" w14:textId="77777777" w:rsidR="00D97580" w:rsidRDefault="00BD43B1">
            <w:pPr>
              <w:jc w:val="center"/>
            </w:pPr>
            <w:r>
              <w:rPr>
                <w:b/>
              </w:rPr>
              <w:t>Клауза</w:t>
            </w:r>
          </w:p>
        </w:tc>
        <w:tc>
          <w:tcPr>
            <w:tcW w:w="4535" w:type="dxa"/>
            <w:shd w:val="clear" w:color="auto" w:fill="D9EAD3"/>
            <w:vAlign w:val="center"/>
          </w:tcPr>
          <w:p w14:paraId="776E6554" w14:textId="77777777" w:rsidR="00D97580" w:rsidRDefault="00BD43B1">
            <w:pPr>
              <w:jc w:val="center"/>
            </w:pPr>
            <w:r>
              <w:rPr>
                <w:b/>
              </w:rPr>
              <w:t>ISO 14001:2015</w:t>
            </w:r>
          </w:p>
        </w:tc>
        <w:tc>
          <w:tcPr>
            <w:tcW w:w="7370" w:type="dxa"/>
            <w:shd w:val="clear" w:color="auto" w:fill="D9EAD3"/>
            <w:vAlign w:val="center"/>
          </w:tcPr>
          <w:p w14:paraId="61323C07" w14:textId="77777777" w:rsidR="00D97580" w:rsidRDefault="00BD43B1">
            <w:pPr>
              <w:jc w:val="center"/>
            </w:pPr>
            <w:r>
              <w:rPr>
                <w:b/>
              </w:rPr>
              <w:t>ISO 14001:2026 – основна промяна</w:t>
            </w:r>
          </w:p>
        </w:tc>
      </w:tr>
      <w:tr w:rsidR="00D97580" w14:paraId="24F38C51" w14:textId="77777777">
        <w:trPr>
          <w:jc w:val="center"/>
        </w:trPr>
        <w:tc>
          <w:tcPr>
            <w:tcW w:w="2381" w:type="dxa"/>
          </w:tcPr>
          <w:p w14:paraId="2CA40D45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4. Контекст на организацията</w:t>
            </w:r>
          </w:p>
        </w:tc>
        <w:tc>
          <w:tcPr>
            <w:tcW w:w="4535" w:type="dxa"/>
          </w:tcPr>
          <w:p w14:paraId="2C9DEC74" w14:textId="77777777" w:rsidR="00D97580" w:rsidRDefault="00BD43B1">
            <w:pPr>
              <w:spacing w:after="20"/>
            </w:pPr>
            <w:r>
              <w:rPr>
                <w:sz w:val="17"/>
              </w:rPr>
              <w:t>Определяне на вътрешни и външни обстоятелства и заинтересовани страни.</w:t>
            </w:r>
          </w:p>
        </w:tc>
        <w:tc>
          <w:tcPr>
            <w:tcW w:w="7370" w:type="dxa"/>
          </w:tcPr>
          <w:p w14:paraId="4184F68E" w14:textId="77777777" w:rsidR="00D97580" w:rsidRDefault="00BD43B1">
            <w:pPr>
              <w:spacing w:after="20"/>
            </w:pPr>
            <w:r>
              <w:rPr>
                <w:sz w:val="17"/>
              </w:rPr>
              <w:t>По-ясно разглеждане на екологичните условия, които влияят върху организацията и върху които тя оказва влияние. Засилва се вниманието към климатичните промени, замърсяването, наличността на ресурси, биоразнообразието и екосистемите.</w:t>
            </w:r>
          </w:p>
        </w:tc>
      </w:tr>
      <w:tr w:rsidR="00D97580" w14:paraId="1394E528" w14:textId="77777777">
        <w:trPr>
          <w:jc w:val="center"/>
        </w:trPr>
        <w:tc>
          <w:tcPr>
            <w:tcW w:w="2381" w:type="dxa"/>
          </w:tcPr>
          <w:p w14:paraId="2E5AB407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4.1 Контекст</w:t>
            </w:r>
          </w:p>
        </w:tc>
        <w:tc>
          <w:tcPr>
            <w:tcW w:w="4535" w:type="dxa"/>
          </w:tcPr>
          <w:p w14:paraId="68B937A6" w14:textId="77777777" w:rsidR="00D97580" w:rsidRDefault="00BD43B1">
            <w:pPr>
              <w:spacing w:after="20"/>
            </w:pPr>
            <w:r>
              <w:rPr>
                <w:sz w:val="17"/>
              </w:rPr>
              <w:t>Общ анализ на факторите, свързани с предназначението и стратегическата посока.</w:t>
            </w:r>
          </w:p>
        </w:tc>
        <w:tc>
          <w:tcPr>
            <w:tcW w:w="7370" w:type="dxa"/>
          </w:tcPr>
          <w:p w14:paraId="2498C39B" w14:textId="77777777" w:rsidR="00D97580" w:rsidRDefault="00BD43B1">
            <w:pPr>
              <w:spacing w:after="20"/>
            </w:pPr>
            <w:r>
              <w:rPr>
                <w:sz w:val="17"/>
              </w:rPr>
              <w:t>Анализът по-ясно включва зависимостите от околната среда и въздействията на организацията върху природната среда.</w:t>
            </w:r>
          </w:p>
        </w:tc>
      </w:tr>
      <w:tr w:rsidR="00D97580" w14:paraId="7D014533" w14:textId="77777777">
        <w:trPr>
          <w:jc w:val="center"/>
        </w:trPr>
        <w:tc>
          <w:tcPr>
            <w:tcW w:w="2381" w:type="dxa"/>
          </w:tcPr>
          <w:p w14:paraId="5227ECD2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4.2 Заинтересовани страни</w:t>
            </w:r>
          </w:p>
        </w:tc>
        <w:tc>
          <w:tcPr>
            <w:tcW w:w="4535" w:type="dxa"/>
          </w:tcPr>
          <w:p w14:paraId="60B52474" w14:textId="77777777" w:rsidR="00D97580" w:rsidRDefault="00BD43B1">
            <w:pPr>
              <w:spacing w:after="20"/>
            </w:pPr>
            <w:r>
              <w:rPr>
                <w:sz w:val="17"/>
              </w:rPr>
              <w:t>Определяне на приложимите нужди и очаквания.</w:t>
            </w:r>
          </w:p>
        </w:tc>
        <w:tc>
          <w:tcPr>
            <w:tcW w:w="7370" w:type="dxa"/>
          </w:tcPr>
          <w:p w14:paraId="20447320" w14:textId="77777777" w:rsidR="00D97580" w:rsidRDefault="00BD43B1">
            <w:pPr>
              <w:spacing w:after="20"/>
            </w:pPr>
            <w:r>
              <w:rPr>
                <w:sz w:val="17"/>
              </w:rPr>
              <w:t>Засилва се оценката на очакванията, свързани с климат, ресурси, биоразнообразие, екологична прозрачност и веригата на стойността.</w:t>
            </w:r>
          </w:p>
        </w:tc>
      </w:tr>
      <w:tr w:rsidR="00D97580" w14:paraId="7ED5BB46" w14:textId="77777777">
        <w:trPr>
          <w:jc w:val="center"/>
        </w:trPr>
        <w:tc>
          <w:tcPr>
            <w:tcW w:w="2381" w:type="dxa"/>
          </w:tcPr>
          <w:p w14:paraId="34C8A6AC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4.3 Обхват на СУОС</w:t>
            </w:r>
          </w:p>
        </w:tc>
        <w:tc>
          <w:tcPr>
            <w:tcW w:w="4535" w:type="dxa"/>
          </w:tcPr>
          <w:p w14:paraId="10AED2C1" w14:textId="77777777" w:rsidR="00D97580" w:rsidRDefault="00BD43B1">
            <w:pPr>
              <w:spacing w:after="20"/>
            </w:pPr>
            <w:r>
              <w:rPr>
                <w:sz w:val="17"/>
              </w:rPr>
              <w:t>Определяне на организационни граници и приложимост.</w:t>
            </w:r>
          </w:p>
        </w:tc>
        <w:tc>
          <w:tcPr>
            <w:tcW w:w="7370" w:type="dxa"/>
          </w:tcPr>
          <w:p w14:paraId="1DD7E76B" w14:textId="77777777" w:rsidR="00D97580" w:rsidRDefault="00BD43B1">
            <w:pPr>
              <w:spacing w:after="20"/>
            </w:pPr>
            <w:r>
              <w:rPr>
                <w:sz w:val="17"/>
              </w:rPr>
              <w:t>Обхватът следва да бъде по-добре обоснован спрямо дейностите, площадките, външните процеси и веригата на стойността.</w:t>
            </w:r>
          </w:p>
        </w:tc>
      </w:tr>
      <w:tr w:rsidR="00D97580" w14:paraId="75D68582" w14:textId="77777777">
        <w:trPr>
          <w:jc w:val="center"/>
        </w:trPr>
        <w:tc>
          <w:tcPr>
            <w:tcW w:w="2381" w:type="dxa"/>
          </w:tcPr>
          <w:p w14:paraId="687E709A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4.4 Система за управление на околната среда</w:t>
            </w:r>
          </w:p>
        </w:tc>
        <w:tc>
          <w:tcPr>
            <w:tcW w:w="4535" w:type="dxa"/>
          </w:tcPr>
          <w:p w14:paraId="55B2ADAB" w14:textId="77777777" w:rsidR="00D97580" w:rsidRDefault="00BD43B1">
            <w:pPr>
              <w:spacing w:after="20"/>
            </w:pPr>
            <w:r>
              <w:rPr>
                <w:sz w:val="17"/>
              </w:rPr>
              <w:t>Създаване, внедряване и непрекъснато подобряване на СУОС.</w:t>
            </w:r>
          </w:p>
        </w:tc>
        <w:tc>
          <w:tcPr>
            <w:tcW w:w="7370" w:type="dxa"/>
          </w:tcPr>
          <w:p w14:paraId="42BD5E46" w14:textId="77777777" w:rsidR="00D97580" w:rsidRDefault="00BD43B1">
            <w:pPr>
              <w:spacing w:after="20"/>
            </w:pPr>
            <w:r>
              <w:rPr>
                <w:sz w:val="17"/>
              </w:rPr>
              <w:t>Основното изискване се запазва, но се търси по-ясна интеграция в реалното управление и бизнес процесите.</w:t>
            </w:r>
          </w:p>
        </w:tc>
      </w:tr>
      <w:tr w:rsidR="00D97580" w14:paraId="3D13E19F" w14:textId="77777777">
        <w:trPr>
          <w:jc w:val="center"/>
        </w:trPr>
        <w:tc>
          <w:tcPr>
            <w:tcW w:w="2381" w:type="dxa"/>
          </w:tcPr>
          <w:p w14:paraId="41CCC383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5. Лидерство</w:t>
            </w:r>
          </w:p>
        </w:tc>
        <w:tc>
          <w:tcPr>
            <w:tcW w:w="4535" w:type="dxa"/>
          </w:tcPr>
          <w:p w14:paraId="67755905" w14:textId="77777777" w:rsidR="00D97580" w:rsidRDefault="00BD43B1">
            <w:pPr>
              <w:spacing w:after="20"/>
            </w:pPr>
            <w:r>
              <w:rPr>
                <w:sz w:val="17"/>
              </w:rPr>
              <w:t>Висшето ръководство демонстрира лидерство и ангажираност.</w:t>
            </w:r>
          </w:p>
        </w:tc>
        <w:tc>
          <w:tcPr>
            <w:tcW w:w="7370" w:type="dxa"/>
          </w:tcPr>
          <w:p w14:paraId="1BE50C41" w14:textId="77777777" w:rsidR="00D97580" w:rsidRDefault="00BD43B1">
            <w:pPr>
              <w:spacing w:after="20"/>
            </w:pPr>
            <w:r>
              <w:rPr>
                <w:sz w:val="17"/>
              </w:rPr>
              <w:t>Засилва се отговорността на висшето ръководство, връзката със стратегическата посока и интегрирането на екологичната отговорност в организационната култура.</w:t>
            </w:r>
          </w:p>
        </w:tc>
      </w:tr>
      <w:tr w:rsidR="00D97580" w14:paraId="63898294" w14:textId="77777777">
        <w:trPr>
          <w:jc w:val="center"/>
        </w:trPr>
        <w:tc>
          <w:tcPr>
            <w:tcW w:w="2381" w:type="dxa"/>
          </w:tcPr>
          <w:p w14:paraId="3EC35998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5.2 Политика по околната среда</w:t>
            </w:r>
          </w:p>
        </w:tc>
        <w:tc>
          <w:tcPr>
            <w:tcW w:w="4535" w:type="dxa"/>
          </w:tcPr>
          <w:p w14:paraId="6750E4F9" w14:textId="77777777" w:rsidR="00D97580" w:rsidRDefault="00BD43B1">
            <w:pPr>
              <w:spacing w:after="20"/>
            </w:pPr>
            <w:r>
              <w:rPr>
                <w:sz w:val="17"/>
              </w:rPr>
              <w:t>Ангажимент за опазване на околната среда, съответствие и подобрение.</w:t>
            </w:r>
          </w:p>
        </w:tc>
        <w:tc>
          <w:tcPr>
            <w:tcW w:w="7370" w:type="dxa"/>
          </w:tcPr>
          <w:p w14:paraId="256D0C9C" w14:textId="77777777" w:rsidR="00D97580" w:rsidRDefault="00BD43B1">
            <w:pPr>
              <w:spacing w:after="20"/>
            </w:pPr>
            <w:r>
              <w:rPr>
                <w:sz w:val="17"/>
              </w:rPr>
              <w:t>Политиката следва по-ясно да отразява контекста, екологичните приоритети и реалните цели на организацията.</w:t>
            </w:r>
          </w:p>
        </w:tc>
      </w:tr>
      <w:tr w:rsidR="00D97580" w14:paraId="35F71C7F" w14:textId="77777777">
        <w:trPr>
          <w:jc w:val="center"/>
        </w:trPr>
        <w:tc>
          <w:tcPr>
            <w:tcW w:w="2381" w:type="dxa"/>
          </w:tcPr>
          <w:p w14:paraId="2D6353AA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5.3 Роли и отговорности</w:t>
            </w:r>
          </w:p>
        </w:tc>
        <w:tc>
          <w:tcPr>
            <w:tcW w:w="4535" w:type="dxa"/>
          </w:tcPr>
          <w:p w14:paraId="568D69D0" w14:textId="77777777" w:rsidR="00D97580" w:rsidRDefault="00BD43B1">
            <w:pPr>
              <w:spacing w:after="20"/>
            </w:pPr>
            <w:r>
              <w:rPr>
                <w:sz w:val="17"/>
              </w:rPr>
              <w:t>Определяне и съобщаване на отговорностите.</w:t>
            </w:r>
          </w:p>
        </w:tc>
        <w:tc>
          <w:tcPr>
            <w:tcW w:w="7370" w:type="dxa"/>
          </w:tcPr>
          <w:p w14:paraId="0A212E3A" w14:textId="77777777" w:rsidR="00D97580" w:rsidRDefault="00BD43B1">
            <w:pPr>
              <w:spacing w:after="20"/>
            </w:pPr>
            <w:r>
              <w:rPr>
                <w:sz w:val="17"/>
              </w:rPr>
              <w:t>По-силен акцент върху отчетността на ръководството и ясното разпределение на отговорностите за екологичните резултати.</w:t>
            </w:r>
          </w:p>
        </w:tc>
      </w:tr>
      <w:tr w:rsidR="00D97580" w14:paraId="7E952E96" w14:textId="77777777">
        <w:trPr>
          <w:jc w:val="center"/>
        </w:trPr>
        <w:tc>
          <w:tcPr>
            <w:tcW w:w="2381" w:type="dxa"/>
          </w:tcPr>
          <w:p w14:paraId="640CFB2B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6.1 Рискове и възможности</w:t>
            </w:r>
          </w:p>
        </w:tc>
        <w:tc>
          <w:tcPr>
            <w:tcW w:w="4535" w:type="dxa"/>
          </w:tcPr>
          <w:p w14:paraId="610C81F4" w14:textId="77777777" w:rsidR="00D97580" w:rsidRDefault="00BD43B1">
            <w:pPr>
              <w:spacing w:after="20"/>
            </w:pPr>
            <w:r>
              <w:rPr>
                <w:sz w:val="17"/>
              </w:rPr>
              <w:t>Определяне на рискове и възможности, свързани с аспекти, задължения и контекст.</w:t>
            </w:r>
          </w:p>
        </w:tc>
        <w:tc>
          <w:tcPr>
            <w:tcW w:w="7370" w:type="dxa"/>
          </w:tcPr>
          <w:p w14:paraId="37E2459B" w14:textId="77777777" w:rsidR="00D97580" w:rsidRDefault="00BD43B1">
            <w:pPr>
              <w:spacing w:after="20"/>
            </w:pPr>
            <w:r>
              <w:rPr>
                <w:sz w:val="17"/>
              </w:rPr>
              <w:t>По-структурирана връзка между контекста, аспектите, задълженията за съответствие, рисковете, възможностите и планираните действия.</w:t>
            </w:r>
          </w:p>
        </w:tc>
      </w:tr>
      <w:tr w:rsidR="00D97580" w14:paraId="04F3ED38" w14:textId="77777777">
        <w:trPr>
          <w:jc w:val="center"/>
        </w:trPr>
        <w:tc>
          <w:tcPr>
            <w:tcW w:w="2381" w:type="dxa"/>
          </w:tcPr>
          <w:p w14:paraId="3C29242F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6.1.2 Екологични аспекти</w:t>
            </w:r>
          </w:p>
        </w:tc>
        <w:tc>
          <w:tcPr>
            <w:tcW w:w="4535" w:type="dxa"/>
          </w:tcPr>
          <w:p w14:paraId="115DE3F0" w14:textId="77777777" w:rsidR="00D97580" w:rsidRDefault="00BD43B1">
            <w:pPr>
              <w:spacing w:after="20"/>
            </w:pPr>
            <w:r>
              <w:rPr>
                <w:sz w:val="17"/>
              </w:rPr>
              <w:t>Определяне на аспекти при отчитане на жизнения цикъл.</w:t>
            </w:r>
          </w:p>
        </w:tc>
        <w:tc>
          <w:tcPr>
            <w:tcW w:w="7370" w:type="dxa"/>
          </w:tcPr>
          <w:p w14:paraId="59FE1EE4" w14:textId="77777777" w:rsidR="00D97580" w:rsidRDefault="00BD43B1">
            <w:pPr>
              <w:spacing w:after="20"/>
            </w:pPr>
            <w:r>
              <w:rPr>
                <w:sz w:val="17"/>
              </w:rPr>
              <w:t>По-ясно разглеждане на въздействията и зависимостите по веригата на стойността и по-добро доказване защо даден аспект е значим.</w:t>
            </w:r>
          </w:p>
        </w:tc>
      </w:tr>
      <w:tr w:rsidR="00D97580" w14:paraId="631E4BD9" w14:textId="77777777">
        <w:trPr>
          <w:jc w:val="center"/>
        </w:trPr>
        <w:tc>
          <w:tcPr>
            <w:tcW w:w="2381" w:type="dxa"/>
          </w:tcPr>
          <w:p w14:paraId="1CE02F66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6.1.3 Задължения за съответствие</w:t>
            </w:r>
          </w:p>
        </w:tc>
        <w:tc>
          <w:tcPr>
            <w:tcW w:w="4535" w:type="dxa"/>
          </w:tcPr>
          <w:p w14:paraId="5F871C6B" w14:textId="77777777" w:rsidR="00D97580" w:rsidRDefault="00BD43B1">
            <w:pPr>
              <w:spacing w:after="20"/>
            </w:pPr>
            <w:r>
              <w:rPr>
                <w:sz w:val="17"/>
              </w:rPr>
              <w:t>Идентифициране и поддържане на достъп до приложимите изисквания.</w:t>
            </w:r>
          </w:p>
        </w:tc>
        <w:tc>
          <w:tcPr>
            <w:tcW w:w="7370" w:type="dxa"/>
          </w:tcPr>
          <w:p w14:paraId="5D5A0FD5" w14:textId="77777777" w:rsidR="00D97580" w:rsidRDefault="00BD43B1">
            <w:pPr>
              <w:spacing w:after="20"/>
            </w:pPr>
            <w:r>
              <w:rPr>
                <w:sz w:val="17"/>
              </w:rPr>
              <w:t>Засилва се връзката между задълженията, оперативните действия и оценката на резултатите.</w:t>
            </w:r>
          </w:p>
        </w:tc>
      </w:tr>
      <w:tr w:rsidR="00D97580" w14:paraId="603B2717" w14:textId="77777777">
        <w:trPr>
          <w:jc w:val="center"/>
        </w:trPr>
        <w:tc>
          <w:tcPr>
            <w:tcW w:w="2381" w:type="dxa"/>
          </w:tcPr>
          <w:p w14:paraId="1C50AC22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6.1.4 Планиране на действията</w:t>
            </w:r>
          </w:p>
        </w:tc>
        <w:tc>
          <w:tcPr>
            <w:tcW w:w="4535" w:type="dxa"/>
          </w:tcPr>
          <w:p w14:paraId="5DE86832" w14:textId="77777777" w:rsidR="00D97580" w:rsidRDefault="00BD43B1">
            <w:pPr>
              <w:spacing w:after="20"/>
            </w:pPr>
            <w:r>
              <w:rPr>
                <w:sz w:val="17"/>
              </w:rPr>
              <w:t>Съществува като част от общото планиране.</w:t>
            </w:r>
          </w:p>
        </w:tc>
        <w:tc>
          <w:tcPr>
            <w:tcW w:w="7370" w:type="dxa"/>
          </w:tcPr>
          <w:p w14:paraId="37F229D2" w14:textId="77777777" w:rsidR="00D97580" w:rsidRDefault="00BD43B1">
            <w:pPr>
              <w:spacing w:after="20"/>
            </w:pPr>
            <w:r>
              <w:rPr>
                <w:sz w:val="17"/>
              </w:rPr>
              <w:t>Обособява се по-ясно. Организацията трябва да показва как действията са интегрирани в процесите и как се оценява тяхната ефективност.</w:t>
            </w:r>
          </w:p>
        </w:tc>
      </w:tr>
      <w:tr w:rsidR="00D97580" w14:paraId="06068EAE" w14:textId="77777777">
        <w:trPr>
          <w:jc w:val="center"/>
        </w:trPr>
        <w:tc>
          <w:tcPr>
            <w:tcW w:w="2381" w:type="dxa"/>
          </w:tcPr>
          <w:p w14:paraId="58579A56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6.2 Екологични цели</w:t>
            </w:r>
          </w:p>
        </w:tc>
        <w:tc>
          <w:tcPr>
            <w:tcW w:w="4535" w:type="dxa"/>
          </w:tcPr>
          <w:p w14:paraId="33C8AE2F" w14:textId="77777777" w:rsidR="00D97580" w:rsidRDefault="00BD43B1">
            <w:pPr>
              <w:spacing w:after="20"/>
            </w:pPr>
            <w:r>
              <w:rPr>
                <w:sz w:val="17"/>
              </w:rPr>
              <w:t>Определяне на измерими цели и планове за постигането им.</w:t>
            </w:r>
          </w:p>
        </w:tc>
        <w:tc>
          <w:tcPr>
            <w:tcW w:w="7370" w:type="dxa"/>
          </w:tcPr>
          <w:p w14:paraId="34CF0BDB" w14:textId="77777777" w:rsidR="00D97580" w:rsidRDefault="00BD43B1">
            <w:pPr>
              <w:spacing w:after="20"/>
            </w:pPr>
            <w:r>
              <w:rPr>
                <w:sz w:val="17"/>
              </w:rPr>
              <w:t>По-силен акцент върху измеримостта, показателите, отговорностите, ресурсите и доказването на реални резултати.</w:t>
            </w:r>
          </w:p>
        </w:tc>
      </w:tr>
      <w:tr w:rsidR="00D97580" w14:paraId="359D2F72" w14:textId="77777777">
        <w:trPr>
          <w:jc w:val="center"/>
        </w:trPr>
        <w:tc>
          <w:tcPr>
            <w:tcW w:w="2381" w:type="dxa"/>
          </w:tcPr>
          <w:p w14:paraId="449C4C94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6.3 Управление на промените</w:t>
            </w:r>
          </w:p>
        </w:tc>
        <w:tc>
          <w:tcPr>
            <w:tcW w:w="4535" w:type="dxa"/>
          </w:tcPr>
          <w:p w14:paraId="3B32996A" w14:textId="77777777" w:rsidR="00D97580" w:rsidRDefault="00BD43B1">
            <w:pPr>
              <w:spacing w:after="20"/>
            </w:pPr>
            <w:r>
              <w:rPr>
                <w:sz w:val="17"/>
              </w:rPr>
              <w:t>Няма отделна самостоятелна клауза.</w:t>
            </w:r>
          </w:p>
        </w:tc>
        <w:tc>
          <w:tcPr>
            <w:tcW w:w="7370" w:type="dxa"/>
          </w:tcPr>
          <w:p w14:paraId="1F345492" w14:textId="77777777" w:rsidR="00D97580" w:rsidRDefault="00BD43B1">
            <w:pPr>
              <w:spacing w:after="20"/>
            </w:pPr>
            <w:r>
              <w:rPr>
                <w:sz w:val="17"/>
              </w:rPr>
              <w:t>Въвежда се по-ясен и формализиран подход за управление на промени, които могат да повлияят върху СУОС и екологичните резултати.</w:t>
            </w:r>
          </w:p>
        </w:tc>
      </w:tr>
      <w:tr w:rsidR="00D97580" w14:paraId="3933DD60" w14:textId="77777777">
        <w:trPr>
          <w:jc w:val="center"/>
        </w:trPr>
        <w:tc>
          <w:tcPr>
            <w:tcW w:w="2381" w:type="dxa"/>
          </w:tcPr>
          <w:p w14:paraId="6A31EA0D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7. Подкрепа</w:t>
            </w:r>
          </w:p>
        </w:tc>
        <w:tc>
          <w:tcPr>
            <w:tcW w:w="4535" w:type="dxa"/>
          </w:tcPr>
          <w:p w14:paraId="17ECD30F" w14:textId="77777777" w:rsidR="00D97580" w:rsidRDefault="00BD43B1">
            <w:pPr>
              <w:spacing w:after="20"/>
            </w:pPr>
            <w:r>
              <w:rPr>
                <w:sz w:val="17"/>
              </w:rPr>
              <w:t>Ресурси, компетентност, осведоменост, комуникация и документирана информация.</w:t>
            </w:r>
          </w:p>
        </w:tc>
        <w:tc>
          <w:tcPr>
            <w:tcW w:w="7370" w:type="dxa"/>
          </w:tcPr>
          <w:p w14:paraId="7369B439" w14:textId="77777777" w:rsidR="00D97580" w:rsidRDefault="00BD43B1">
            <w:pPr>
              <w:spacing w:after="20"/>
            </w:pPr>
            <w:r>
              <w:rPr>
                <w:sz w:val="17"/>
              </w:rPr>
              <w:t>Структурата се запазва. Уточняват се терминологията, доказателствата за компетентност, качеството на комуникацията и контролът върху документираната информация.</w:t>
            </w:r>
          </w:p>
        </w:tc>
      </w:tr>
      <w:tr w:rsidR="00D97580" w14:paraId="56C18DC7" w14:textId="77777777">
        <w:trPr>
          <w:jc w:val="center"/>
        </w:trPr>
        <w:tc>
          <w:tcPr>
            <w:tcW w:w="2381" w:type="dxa"/>
          </w:tcPr>
          <w:p w14:paraId="15C090A8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7.2 Компетентност</w:t>
            </w:r>
          </w:p>
        </w:tc>
        <w:tc>
          <w:tcPr>
            <w:tcW w:w="4535" w:type="dxa"/>
          </w:tcPr>
          <w:p w14:paraId="177A3C46" w14:textId="77777777" w:rsidR="00D97580" w:rsidRDefault="00BD43B1">
            <w:pPr>
              <w:spacing w:after="20"/>
            </w:pPr>
            <w:r>
              <w:rPr>
                <w:sz w:val="17"/>
              </w:rPr>
              <w:t>Определяне и осигуряване на необходимата компетентност.</w:t>
            </w:r>
          </w:p>
        </w:tc>
        <w:tc>
          <w:tcPr>
            <w:tcW w:w="7370" w:type="dxa"/>
          </w:tcPr>
          <w:p w14:paraId="47670898" w14:textId="77777777" w:rsidR="00D97580" w:rsidRDefault="00BD43B1">
            <w:pPr>
              <w:spacing w:after="20"/>
            </w:pPr>
            <w:r>
              <w:rPr>
                <w:sz w:val="17"/>
              </w:rPr>
              <w:t>Очаква се по-убедително доказване, че компетентността води до ефективно изпълнение на екологичните отговорности.</w:t>
            </w:r>
          </w:p>
        </w:tc>
      </w:tr>
      <w:tr w:rsidR="00D97580" w14:paraId="056F3D32" w14:textId="77777777">
        <w:trPr>
          <w:jc w:val="center"/>
        </w:trPr>
        <w:tc>
          <w:tcPr>
            <w:tcW w:w="2381" w:type="dxa"/>
          </w:tcPr>
          <w:p w14:paraId="5A68EDF9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7.3 Осведоменост</w:t>
            </w:r>
          </w:p>
        </w:tc>
        <w:tc>
          <w:tcPr>
            <w:tcW w:w="4535" w:type="dxa"/>
          </w:tcPr>
          <w:p w14:paraId="067E4BC4" w14:textId="77777777" w:rsidR="00D97580" w:rsidRDefault="00BD43B1">
            <w:pPr>
              <w:spacing w:after="20"/>
            </w:pPr>
            <w:r>
              <w:rPr>
                <w:sz w:val="17"/>
              </w:rPr>
              <w:t>Персоналът познава политиката, аспектите и последиците от несъответствие.</w:t>
            </w:r>
          </w:p>
        </w:tc>
        <w:tc>
          <w:tcPr>
            <w:tcW w:w="7370" w:type="dxa"/>
          </w:tcPr>
          <w:p w14:paraId="362D5DAB" w14:textId="77777777" w:rsidR="00D97580" w:rsidRDefault="00BD43B1">
            <w:pPr>
              <w:spacing w:after="20"/>
            </w:pPr>
            <w:r>
              <w:rPr>
                <w:sz w:val="17"/>
              </w:rPr>
              <w:t>Подчертават се екологичната култура, ангажираността и личният принос към екологичните резултати.</w:t>
            </w:r>
          </w:p>
        </w:tc>
      </w:tr>
      <w:tr w:rsidR="00D97580" w14:paraId="3F7A2C1F" w14:textId="77777777">
        <w:trPr>
          <w:jc w:val="center"/>
        </w:trPr>
        <w:tc>
          <w:tcPr>
            <w:tcW w:w="2381" w:type="dxa"/>
          </w:tcPr>
          <w:p w14:paraId="178B5300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7.4 Комуникация</w:t>
            </w:r>
          </w:p>
        </w:tc>
        <w:tc>
          <w:tcPr>
            <w:tcW w:w="4535" w:type="dxa"/>
          </w:tcPr>
          <w:p w14:paraId="56FBE471" w14:textId="77777777" w:rsidR="00D97580" w:rsidRDefault="00BD43B1">
            <w:pPr>
              <w:spacing w:after="20"/>
            </w:pPr>
            <w:r>
              <w:rPr>
                <w:sz w:val="17"/>
              </w:rPr>
              <w:t>Определяне какво, кога, с кого и как се комуникира.</w:t>
            </w:r>
          </w:p>
        </w:tc>
        <w:tc>
          <w:tcPr>
            <w:tcW w:w="7370" w:type="dxa"/>
          </w:tcPr>
          <w:p w14:paraId="18779ACB" w14:textId="77777777" w:rsidR="00D97580" w:rsidRDefault="00BD43B1">
            <w:pPr>
              <w:spacing w:after="20"/>
            </w:pPr>
            <w:r>
              <w:rPr>
                <w:sz w:val="17"/>
              </w:rPr>
              <w:t>Засилват се последователността, достоверността и проследимостта на вътрешната и външната информация.</w:t>
            </w:r>
          </w:p>
        </w:tc>
      </w:tr>
      <w:tr w:rsidR="00D97580" w14:paraId="771852B3" w14:textId="77777777">
        <w:trPr>
          <w:jc w:val="center"/>
        </w:trPr>
        <w:tc>
          <w:tcPr>
            <w:tcW w:w="2381" w:type="dxa"/>
          </w:tcPr>
          <w:p w14:paraId="4CFB7AF3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lastRenderedPageBreak/>
              <w:t>8.1 Оперативно планиране и контрол</w:t>
            </w:r>
          </w:p>
        </w:tc>
        <w:tc>
          <w:tcPr>
            <w:tcW w:w="4535" w:type="dxa"/>
          </w:tcPr>
          <w:p w14:paraId="66A8A660" w14:textId="77777777" w:rsidR="00D97580" w:rsidRDefault="00BD43B1">
            <w:pPr>
              <w:spacing w:after="20"/>
            </w:pPr>
            <w:r>
              <w:rPr>
                <w:sz w:val="17"/>
              </w:rPr>
              <w:t>Управление на процесите, значимите аспекти и външно възложените процеси.</w:t>
            </w:r>
          </w:p>
        </w:tc>
        <w:tc>
          <w:tcPr>
            <w:tcW w:w="7370" w:type="dxa"/>
          </w:tcPr>
          <w:p w14:paraId="6F039281" w14:textId="77777777" w:rsidR="00D97580" w:rsidRDefault="00BD43B1">
            <w:pPr>
              <w:spacing w:after="20"/>
            </w:pPr>
            <w:r>
              <w:rPr>
                <w:sz w:val="17"/>
              </w:rPr>
              <w:t>Контролът се разширява към външно предоставяни процеси, продукти и услуги. Отговорността по веригата на стойността е по-ясно подчертана.</w:t>
            </w:r>
          </w:p>
        </w:tc>
      </w:tr>
      <w:tr w:rsidR="00D97580" w14:paraId="5B50DCDC" w14:textId="77777777">
        <w:trPr>
          <w:jc w:val="center"/>
        </w:trPr>
        <w:tc>
          <w:tcPr>
            <w:tcW w:w="2381" w:type="dxa"/>
          </w:tcPr>
          <w:p w14:paraId="7B299655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8.1 Жизнен цикъл</w:t>
            </w:r>
          </w:p>
        </w:tc>
        <w:tc>
          <w:tcPr>
            <w:tcW w:w="4535" w:type="dxa"/>
          </w:tcPr>
          <w:p w14:paraId="05793E15" w14:textId="77777777" w:rsidR="00D97580" w:rsidRDefault="00BD43B1">
            <w:pPr>
              <w:spacing w:after="20"/>
            </w:pPr>
            <w:r>
              <w:rPr>
                <w:sz w:val="17"/>
              </w:rPr>
              <w:t>Изисква се перспектива на жизнения цикъл, без задължителна пълна оценка.</w:t>
            </w:r>
          </w:p>
        </w:tc>
        <w:tc>
          <w:tcPr>
            <w:tcW w:w="7370" w:type="dxa"/>
          </w:tcPr>
          <w:p w14:paraId="174F6135" w14:textId="77777777" w:rsidR="00D97580" w:rsidRDefault="00BD43B1">
            <w:pPr>
              <w:spacing w:after="20"/>
            </w:pPr>
            <w:r>
              <w:rPr>
                <w:sz w:val="17"/>
              </w:rPr>
              <w:t>Концепцията се пояснява, за да се намалят различията в тълкуването и да се засили практическото ѝ приложение.</w:t>
            </w:r>
          </w:p>
        </w:tc>
      </w:tr>
      <w:tr w:rsidR="00D97580" w14:paraId="26382662" w14:textId="77777777">
        <w:trPr>
          <w:jc w:val="center"/>
        </w:trPr>
        <w:tc>
          <w:tcPr>
            <w:tcW w:w="2381" w:type="dxa"/>
          </w:tcPr>
          <w:p w14:paraId="4835BD03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8.2 Готовност и реакция при извънредни ситуации</w:t>
            </w:r>
          </w:p>
        </w:tc>
        <w:tc>
          <w:tcPr>
            <w:tcW w:w="4535" w:type="dxa"/>
          </w:tcPr>
          <w:p w14:paraId="50A0F4CE" w14:textId="77777777" w:rsidR="00D97580" w:rsidRDefault="00BD43B1">
            <w:pPr>
              <w:spacing w:after="20"/>
            </w:pPr>
            <w:r>
              <w:rPr>
                <w:sz w:val="17"/>
              </w:rPr>
              <w:t>Определяне, изпитване и преглед на реакциите.</w:t>
            </w:r>
          </w:p>
        </w:tc>
        <w:tc>
          <w:tcPr>
            <w:tcW w:w="7370" w:type="dxa"/>
          </w:tcPr>
          <w:p w14:paraId="49DC5F13" w14:textId="77777777" w:rsidR="00D97580" w:rsidRDefault="00BD43B1">
            <w:pPr>
              <w:spacing w:after="20"/>
            </w:pPr>
            <w:r>
              <w:rPr>
                <w:sz w:val="17"/>
              </w:rPr>
              <w:t>Очаква се по-добро отчитане на променящите се екологични условия и рискове.</w:t>
            </w:r>
          </w:p>
        </w:tc>
      </w:tr>
      <w:tr w:rsidR="00D97580" w14:paraId="09CB2A2D" w14:textId="77777777">
        <w:trPr>
          <w:jc w:val="center"/>
        </w:trPr>
        <w:tc>
          <w:tcPr>
            <w:tcW w:w="2381" w:type="dxa"/>
          </w:tcPr>
          <w:p w14:paraId="53254635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9.1 Наблюдение, измерване и оценяване</w:t>
            </w:r>
          </w:p>
        </w:tc>
        <w:tc>
          <w:tcPr>
            <w:tcW w:w="4535" w:type="dxa"/>
          </w:tcPr>
          <w:p w14:paraId="58033977" w14:textId="77777777" w:rsidR="00D97580" w:rsidRDefault="00BD43B1">
            <w:pPr>
              <w:spacing w:after="20"/>
            </w:pPr>
            <w:r>
              <w:rPr>
                <w:sz w:val="17"/>
              </w:rPr>
              <w:t>Наблюдение на съществени характеристики и оценяване на съответствието.</w:t>
            </w:r>
          </w:p>
        </w:tc>
        <w:tc>
          <w:tcPr>
            <w:tcW w:w="7370" w:type="dxa"/>
          </w:tcPr>
          <w:p w14:paraId="0EC07EBF" w14:textId="77777777" w:rsidR="00D97580" w:rsidRDefault="00BD43B1">
            <w:pPr>
              <w:spacing w:after="20"/>
            </w:pPr>
            <w:r>
              <w:rPr>
                <w:sz w:val="17"/>
              </w:rPr>
              <w:t>По-силен акцент върху качеството на данните, показателите и доказуемото подобряване на екологичните резултати.</w:t>
            </w:r>
          </w:p>
        </w:tc>
      </w:tr>
      <w:tr w:rsidR="00D97580" w14:paraId="1366DC5D" w14:textId="77777777">
        <w:trPr>
          <w:jc w:val="center"/>
        </w:trPr>
        <w:tc>
          <w:tcPr>
            <w:tcW w:w="2381" w:type="dxa"/>
          </w:tcPr>
          <w:p w14:paraId="521DAA15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9.2 Вътрешен одит</w:t>
            </w:r>
          </w:p>
        </w:tc>
        <w:tc>
          <w:tcPr>
            <w:tcW w:w="4535" w:type="dxa"/>
          </w:tcPr>
          <w:p w14:paraId="5712C823" w14:textId="77777777" w:rsidR="00D97580" w:rsidRDefault="00BD43B1">
            <w:pPr>
              <w:spacing w:after="20"/>
            </w:pPr>
            <w:r>
              <w:rPr>
                <w:sz w:val="17"/>
              </w:rPr>
              <w:t>Провеждане на вътрешни одити по програма.</w:t>
            </w:r>
          </w:p>
        </w:tc>
        <w:tc>
          <w:tcPr>
            <w:tcW w:w="7370" w:type="dxa"/>
          </w:tcPr>
          <w:p w14:paraId="0694BEC2" w14:textId="77777777" w:rsidR="00D97580" w:rsidRDefault="00BD43B1">
            <w:pPr>
              <w:spacing w:after="20"/>
            </w:pPr>
            <w:r>
              <w:rPr>
                <w:sz w:val="17"/>
              </w:rPr>
              <w:t>Изискванията за програмата, целите, обхвата и документираната информация са по-ясни и структурирани.</w:t>
            </w:r>
          </w:p>
        </w:tc>
      </w:tr>
      <w:tr w:rsidR="00D97580" w14:paraId="57683AB6" w14:textId="77777777">
        <w:trPr>
          <w:jc w:val="center"/>
        </w:trPr>
        <w:tc>
          <w:tcPr>
            <w:tcW w:w="2381" w:type="dxa"/>
          </w:tcPr>
          <w:p w14:paraId="6C20A4FD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9.3 Преглед от ръководството</w:t>
            </w:r>
          </w:p>
        </w:tc>
        <w:tc>
          <w:tcPr>
            <w:tcW w:w="4535" w:type="dxa"/>
          </w:tcPr>
          <w:p w14:paraId="3B666982" w14:textId="77777777" w:rsidR="00D97580" w:rsidRDefault="00BD43B1">
            <w:pPr>
              <w:spacing w:after="20"/>
            </w:pPr>
            <w:r>
              <w:rPr>
                <w:sz w:val="17"/>
              </w:rPr>
              <w:t>Преглед на пригодността, адекватността и ефективността на СУОС.</w:t>
            </w:r>
          </w:p>
        </w:tc>
        <w:tc>
          <w:tcPr>
            <w:tcW w:w="7370" w:type="dxa"/>
          </w:tcPr>
          <w:p w14:paraId="62EA73C5" w14:textId="77777777" w:rsidR="00D97580" w:rsidRDefault="00BD43B1">
            <w:pPr>
              <w:spacing w:after="20"/>
            </w:pPr>
            <w:r>
              <w:rPr>
                <w:sz w:val="17"/>
              </w:rPr>
              <w:t>Прегледът е по-структуриран и по-силно ориентиран към резултатите, промените в контекста, стратегическите решения и необходимите действия.</w:t>
            </w:r>
          </w:p>
        </w:tc>
      </w:tr>
      <w:tr w:rsidR="00D97580" w14:paraId="29137E9B" w14:textId="77777777">
        <w:trPr>
          <w:jc w:val="center"/>
        </w:trPr>
        <w:tc>
          <w:tcPr>
            <w:tcW w:w="2381" w:type="dxa"/>
          </w:tcPr>
          <w:p w14:paraId="54A13268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10. Подобряване</w:t>
            </w:r>
          </w:p>
        </w:tc>
        <w:tc>
          <w:tcPr>
            <w:tcW w:w="4535" w:type="dxa"/>
          </w:tcPr>
          <w:p w14:paraId="471794E6" w14:textId="77777777" w:rsidR="00D97580" w:rsidRDefault="00BD43B1">
            <w:pPr>
              <w:spacing w:after="20"/>
            </w:pPr>
            <w:r>
              <w:rPr>
                <w:sz w:val="17"/>
              </w:rPr>
              <w:t>Несъответствия, коригиращи действия и непрекъснато подобрение.</w:t>
            </w:r>
          </w:p>
        </w:tc>
        <w:tc>
          <w:tcPr>
            <w:tcW w:w="7370" w:type="dxa"/>
          </w:tcPr>
          <w:p w14:paraId="6EB82294" w14:textId="77777777" w:rsidR="00D97580" w:rsidRDefault="00BD43B1">
            <w:pPr>
              <w:spacing w:after="20"/>
            </w:pPr>
            <w:r>
              <w:rPr>
                <w:sz w:val="17"/>
              </w:rPr>
              <w:t>Засилва се очакването за демонстриране на реално подобрение на екологичните резултати, а не само на процедурите.</w:t>
            </w:r>
          </w:p>
        </w:tc>
      </w:tr>
      <w:tr w:rsidR="00D97580" w14:paraId="0A104F44" w14:textId="77777777">
        <w:trPr>
          <w:jc w:val="center"/>
        </w:trPr>
        <w:tc>
          <w:tcPr>
            <w:tcW w:w="2381" w:type="dxa"/>
          </w:tcPr>
          <w:p w14:paraId="6BECB714" w14:textId="77777777" w:rsidR="00D97580" w:rsidRDefault="00BD43B1">
            <w:pPr>
              <w:spacing w:after="20"/>
            </w:pPr>
            <w:r>
              <w:rPr>
                <w:b/>
                <w:sz w:val="17"/>
              </w:rPr>
              <w:t>Приложение А</w:t>
            </w:r>
          </w:p>
        </w:tc>
        <w:tc>
          <w:tcPr>
            <w:tcW w:w="4535" w:type="dxa"/>
          </w:tcPr>
          <w:p w14:paraId="73387200" w14:textId="77777777" w:rsidR="00D97580" w:rsidRDefault="00BD43B1">
            <w:pPr>
              <w:spacing w:after="20"/>
            </w:pPr>
            <w:r>
              <w:rPr>
                <w:sz w:val="17"/>
              </w:rPr>
              <w:t>Насоки за използване на стандарта.</w:t>
            </w:r>
          </w:p>
        </w:tc>
        <w:tc>
          <w:tcPr>
            <w:tcW w:w="7370" w:type="dxa"/>
          </w:tcPr>
          <w:p w14:paraId="577A4E07" w14:textId="77777777" w:rsidR="00D97580" w:rsidRDefault="00BD43B1">
            <w:pPr>
              <w:spacing w:after="20"/>
            </w:pPr>
            <w:r>
              <w:rPr>
                <w:sz w:val="17"/>
              </w:rPr>
              <w:t>Разширено и пояснено е значението на лидерството, културата, екологичната отговорност, ангажираността, жизнения цикъл и връзката между изискванията.</w:t>
            </w:r>
          </w:p>
        </w:tc>
      </w:tr>
    </w:tbl>
    <w:p w14:paraId="2EBDACAF" w14:textId="77777777" w:rsidR="00D97580" w:rsidRDefault="00D97580"/>
    <w:p w14:paraId="3D968C44" w14:textId="77777777" w:rsidR="00D97580" w:rsidRDefault="00BD43B1">
      <w:r>
        <w:rPr>
          <w:b/>
        </w:rPr>
        <w:t xml:space="preserve">Важно: </w:t>
      </w:r>
      <w:r>
        <w:t>За оценка на готовността на конкретна организация за преход е необходимо отделно извършване на GAP анализ, който отчита реалното състояние на нейната система за управление.</w:t>
      </w:r>
    </w:p>
    <w:sectPr w:rsidR="00D97580" w:rsidSect="00034616">
      <w:pgSz w:w="15840" w:h="12240" w:orient="landscape"/>
      <w:pgMar w:top="964" w:right="964" w:bottom="96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3422497">
    <w:abstractNumId w:val="8"/>
  </w:num>
  <w:num w:numId="2" w16cid:durableId="925917878">
    <w:abstractNumId w:val="6"/>
  </w:num>
  <w:num w:numId="3" w16cid:durableId="59138748">
    <w:abstractNumId w:val="5"/>
  </w:num>
  <w:num w:numId="4" w16cid:durableId="996766825">
    <w:abstractNumId w:val="4"/>
  </w:num>
  <w:num w:numId="5" w16cid:durableId="2056074079">
    <w:abstractNumId w:val="7"/>
  </w:num>
  <w:num w:numId="6" w16cid:durableId="809133398">
    <w:abstractNumId w:val="3"/>
  </w:num>
  <w:num w:numId="7" w16cid:durableId="1610121208">
    <w:abstractNumId w:val="2"/>
  </w:num>
  <w:num w:numId="8" w16cid:durableId="494031316">
    <w:abstractNumId w:val="1"/>
  </w:num>
  <w:num w:numId="9" w16cid:durableId="42646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583"/>
    <w:rsid w:val="00034616"/>
    <w:rsid w:val="0006063C"/>
    <w:rsid w:val="0015074B"/>
    <w:rsid w:val="0029639D"/>
    <w:rsid w:val="00326F90"/>
    <w:rsid w:val="007579B4"/>
    <w:rsid w:val="00AA1D8D"/>
    <w:rsid w:val="00B47730"/>
    <w:rsid w:val="00BD43B1"/>
    <w:rsid w:val="00CB0664"/>
    <w:rsid w:val="00D975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CFB4BC"/>
  <w14:defaultImageDpi w14:val="300"/>
  <w15:docId w15:val="{2F5667F3-3170-4148-92ED-09015B3D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ЗЕД БЪЛГАРИЯ</cp:lastModifiedBy>
  <cp:revision>2</cp:revision>
  <dcterms:created xsi:type="dcterms:W3CDTF">2026-07-21T08:21:00Z</dcterms:created>
  <dcterms:modified xsi:type="dcterms:W3CDTF">2026-07-21T08:21:00Z</dcterms:modified>
  <cp:category/>
</cp:coreProperties>
</file>